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26" w:rsidRPr="00A6352D" w:rsidRDefault="008F6126" w:rsidP="00BF4D87">
      <w:pPr>
        <w:autoSpaceDE w:val="0"/>
        <w:autoSpaceDN w:val="0"/>
        <w:adjustRightInd w:val="0"/>
        <w:spacing w:after="0" w:line="240" w:lineRule="auto"/>
        <w:ind w:left="-993" w:right="49"/>
        <w:jc w:val="both"/>
        <w:rPr>
          <w:rFonts w:ascii="Arial" w:hAnsi="Arial" w:cs="Arial"/>
          <w:b/>
          <w:bCs/>
          <w:color w:val="262626" w:themeColor="text1" w:themeTint="D9"/>
          <w:sz w:val="18"/>
          <w:szCs w:val="18"/>
        </w:rPr>
      </w:pPr>
      <w:bookmarkStart w:id="0" w:name="_GoBack"/>
      <w:r w:rsidRPr="00A6352D">
        <w:rPr>
          <w:rFonts w:ascii="Arial" w:hAnsi="Arial" w:cs="Arial"/>
          <w:b/>
          <w:bCs/>
          <w:noProof/>
          <w:color w:val="262626" w:themeColor="text1" w:themeTint="D9"/>
          <w:sz w:val="18"/>
          <w:szCs w:val="18"/>
          <w:lang w:eastAsia="es-MX"/>
        </w:rPr>
        <w:drawing>
          <wp:inline distT="0" distB="0" distL="0" distR="0">
            <wp:extent cx="1638300" cy="32433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BF4D87" w:rsidRDefault="00BF4D87" w:rsidP="00BF4D87">
      <w:pPr>
        <w:autoSpaceDE w:val="0"/>
        <w:autoSpaceDN w:val="0"/>
        <w:adjustRightInd w:val="0"/>
        <w:spacing w:after="0" w:line="360" w:lineRule="auto"/>
        <w:ind w:left="-993" w:right="49"/>
        <w:jc w:val="both"/>
        <w:rPr>
          <w:rFonts w:ascii="Arial" w:hAnsi="Arial" w:cs="Arial"/>
          <w:b/>
          <w:bCs/>
          <w:color w:val="262626" w:themeColor="text1" w:themeTint="D9"/>
          <w:sz w:val="18"/>
          <w:szCs w:val="18"/>
        </w:rPr>
      </w:pPr>
    </w:p>
    <w:p w:rsidR="008F6126" w:rsidRPr="00A6352D" w:rsidRDefault="008F6126" w:rsidP="00BF4D87">
      <w:pPr>
        <w:autoSpaceDE w:val="0"/>
        <w:autoSpaceDN w:val="0"/>
        <w:adjustRightInd w:val="0"/>
        <w:spacing w:after="0" w:line="360" w:lineRule="auto"/>
        <w:ind w:left="-993" w:right="49"/>
        <w:jc w:val="both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 w:rsidRPr="00A6352D">
        <w:rPr>
          <w:rFonts w:ascii="Arial" w:hAnsi="Arial" w:cs="Arial"/>
          <w:b/>
          <w:bCs/>
          <w:color w:val="262626" w:themeColor="text1" w:themeTint="D9"/>
          <w:sz w:val="18"/>
          <w:szCs w:val="18"/>
        </w:rPr>
        <w:t xml:space="preserve">Nombre </w:t>
      </w:r>
      <w:r w:rsidRPr="00A6352D">
        <w:rPr>
          <w:rFonts w:ascii="Arial" w:hAnsi="Arial" w:cs="Arial"/>
          <w:bCs/>
          <w:color w:val="262626" w:themeColor="text1" w:themeTint="D9"/>
          <w:sz w:val="18"/>
          <w:szCs w:val="18"/>
        </w:rPr>
        <w:t>Josué Martín López Córdova.</w:t>
      </w:r>
    </w:p>
    <w:p w:rsidR="008F6126" w:rsidRPr="00A6352D" w:rsidRDefault="008F6126" w:rsidP="00BF4D87">
      <w:pPr>
        <w:autoSpaceDE w:val="0"/>
        <w:autoSpaceDN w:val="0"/>
        <w:adjustRightInd w:val="0"/>
        <w:spacing w:after="0" w:line="360" w:lineRule="auto"/>
        <w:ind w:left="-993" w:right="49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A6352D">
        <w:rPr>
          <w:rFonts w:ascii="Arial" w:hAnsi="Arial" w:cs="Arial"/>
          <w:b/>
          <w:bCs/>
          <w:color w:val="262626" w:themeColor="text1" w:themeTint="D9"/>
          <w:sz w:val="18"/>
          <w:szCs w:val="18"/>
        </w:rPr>
        <w:t xml:space="preserve">Grado de Escolaridad </w:t>
      </w:r>
      <w:r w:rsidRPr="00A6352D">
        <w:rPr>
          <w:rFonts w:ascii="Arial" w:hAnsi="Arial" w:cs="Arial"/>
          <w:bCs/>
          <w:color w:val="262626" w:themeColor="text1" w:themeTint="D9"/>
          <w:sz w:val="18"/>
          <w:szCs w:val="18"/>
        </w:rPr>
        <w:t>Licenciatura en Derecho.</w:t>
      </w:r>
    </w:p>
    <w:p w:rsidR="008F6126" w:rsidRPr="00A6352D" w:rsidRDefault="008F6126" w:rsidP="00BF4D87">
      <w:pPr>
        <w:autoSpaceDE w:val="0"/>
        <w:autoSpaceDN w:val="0"/>
        <w:adjustRightInd w:val="0"/>
        <w:spacing w:after="0" w:line="360" w:lineRule="auto"/>
        <w:ind w:left="-993" w:right="49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A6352D">
        <w:rPr>
          <w:rFonts w:ascii="Arial" w:hAnsi="Arial" w:cs="Arial"/>
          <w:b/>
          <w:bCs/>
          <w:color w:val="262626" w:themeColor="text1" w:themeTint="D9"/>
          <w:sz w:val="18"/>
          <w:szCs w:val="18"/>
        </w:rPr>
        <w:t xml:space="preserve">Cédula Profesional </w:t>
      </w:r>
      <w:r w:rsidRPr="00A6352D">
        <w:rPr>
          <w:rFonts w:ascii="Arial" w:hAnsi="Arial" w:cs="Arial"/>
          <w:b/>
          <w:bCs/>
          <w:i/>
          <w:color w:val="262626" w:themeColor="text1" w:themeTint="D9"/>
          <w:sz w:val="18"/>
          <w:szCs w:val="18"/>
        </w:rPr>
        <w:t>(Licenciatura</w:t>
      </w:r>
      <w:r w:rsidRPr="00A6352D">
        <w:rPr>
          <w:rFonts w:ascii="Arial" w:hAnsi="Arial" w:cs="Arial"/>
          <w:b/>
          <w:bCs/>
          <w:color w:val="262626" w:themeColor="text1" w:themeTint="D9"/>
          <w:sz w:val="18"/>
          <w:szCs w:val="18"/>
        </w:rPr>
        <w:t xml:space="preserve">) </w:t>
      </w:r>
      <w:r w:rsidRPr="00A6352D">
        <w:rPr>
          <w:rFonts w:ascii="Arial" w:hAnsi="Arial" w:cs="Arial"/>
          <w:bCs/>
          <w:color w:val="262626" w:themeColor="text1" w:themeTint="D9"/>
          <w:sz w:val="18"/>
          <w:szCs w:val="18"/>
        </w:rPr>
        <w:t>4522168.</w:t>
      </w:r>
    </w:p>
    <w:p w:rsidR="008F6126" w:rsidRPr="00A6352D" w:rsidRDefault="008F6126" w:rsidP="00BF4D87">
      <w:pPr>
        <w:autoSpaceDE w:val="0"/>
        <w:autoSpaceDN w:val="0"/>
        <w:adjustRightInd w:val="0"/>
        <w:spacing w:after="0" w:line="360" w:lineRule="auto"/>
        <w:ind w:left="-993" w:right="49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A6352D">
        <w:rPr>
          <w:rFonts w:ascii="Arial" w:hAnsi="Arial" w:cs="Arial"/>
          <w:b/>
          <w:bCs/>
          <w:color w:val="262626" w:themeColor="text1" w:themeTint="D9"/>
          <w:sz w:val="18"/>
          <w:szCs w:val="18"/>
        </w:rPr>
        <w:t xml:space="preserve">Teléfono de Oficina </w:t>
      </w:r>
      <w:r w:rsidR="00987A13" w:rsidRPr="00A6352D">
        <w:rPr>
          <w:rFonts w:ascii="Arial" w:hAnsi="Arial" w:cs="Arial"/>
          <w:color w:val="262626" w:themeColor="text1" w:themeTint="D9"/>
          <w:sz w:val="18"/>
          <w:szCs w:val="18"/>
        </w:rPr>
        <w:t>768-855-2320</w:t>
      </w:r>
      <w:r w:rsidRPr="00A6352D">
        <w:rPr>
          <w:rFonts w:ascii="Arial" w:hAnsi="Arial" w:cs="Arial"/>
          <w:color w:val="262626" w:themeColor="text1" w:themeTint="D9"/>
          <w:sz w:val="18"/>
          <w:szCs w:val="18"/>
        </w:rPr>
        <w:t xml:space="preserve">. </w:t>
      </w:r>
    </w:p>
    <w:p w:rsidR="008F6126" w:rsidRPr="00A6352D" w:rsidRDefault="008F6126" w:rsidP="00BF4D87">
      <w:pPr>
        <w:autoSpaceDE w:val="0"/>
        <w:autoSpaceDN w:val="0"/>
        <w:adjustRightInd w:val="0"/>
        <w:spacing w:after="0" w:line="360" w:lineRule="auto"/>
        <w:ind w:left="-993" w:right="49"/>
        <w:jc w:val="both"/>
        <w:rPr>
          <w:rFonts w:ascii="Arial" w:hAnsi="Arial" w:cs="Arial"/>
          <w:b/>
          <w:bCs/>
          <w:color w:val="262626" w:themeColor="text1" w:themeTint="D9"/>
          <w:sz w:val="18"/>
          <w:szCs w:val="18"/>
        </w:rPr>
      </w:pPr>
      <w:r w:rsidRPr="00A6352D">
        <w:rPr>
          <w:rFonts w:ascii="Arial" w:hAnsi="Arial" w:cs="Arial"/>
          <w:b/>
          <w:bCs/>
          <w:color w:val="262626" w:themeColor="text1" w:themeTint="D9"/>
          <w:sz w:val="18"/>
          <w:szCs w:val="18"/>
        </w:rPr>
        <w:t xml:space="preserve">Correo Electrónico </w:t>
      </w:r>
      <w:r w:rsidRPr="00A6352D">
        <w:rPr>
          <w:rFonts w:ascii="Arial" w:hAnsi="Arial" w:cs="Arial"/>
          <w:bCs/>
          <w:color w:val="262626" w:themeColor="text1" w:themeTint="D9"/>
          <w:sz w:val="18"/>
          <w:szCs w:val="18"/>
        </w:rPr>
        <w:t>j</w:t>
      </w:r>
      <w:r w:rsidR="00483D67" w:rsidRPr="00A6352D">
        <w:rPr>
          <w:rFonts w:ascii="Arial" w:hAnsi="Arial" w:cs="Arial"/>
          <w:bCs/>
          <w:color w:val="262626" w:themeColor="text1" w:themeTint="D9"/>
          <w:sz w:val="18"/>
          <w:szCs w:val="18"/>
        </w:rPr>
        <w:t>lopez@fiscaliaveracruz.gob.mx</w:t>
      </w:r>
    </w:p>
    <w:p w:rsidR="00BC640B" w:rsidRDefault="00BC640B" w:rsidP="00BF4D87">
      <w:pPr>
        <w:autoSpaceDE w:val="0"/>
        <w:autoSpaceDN w:val="0"/>
        <w:adjustRightInd w:val="0"/>
        <w:spacing w:after="0" w:line="240" w:lineRule="auto"/>
        <w:ind w:left="-993" w:right="49"/>
        <w:jc w:val="both"/>
        <w:rPr>
          <w:rFonts w:ascii="Arial" w:hAnsi="Arial" w:cs="Arial"/>
          <w:b/>
          <w:bCs/>
          <w:color w:val="262626" w:themeColor="text1" w:themeTint="D9"/>
          <w:sz w:val="18"/>
          <w:szCs w:val="18"/>
        </w:rPr>
      </w:pPr>
    </w:p>
    <w:p w:rsidR="00BC640B" w:rsidRDefault="008F6126" w:rsidP="00BF4D87">
      <w:pPr>
        <w:autoSpaceDE w:val="0"/>
        <w:autoSpaceDN w:val="0"/>
        <w:adjustRightInd w:val="0"/>
        <w:spacing w:after="0" w:line="240" w:lineRule="auto"/>
        <w:ind w:left="-993" w:right="49"/>
        <w:jc w:val="both"/>
        <w:rPr>
          <w:rFonts w:ascii="Arial" w:hAnsi="Arial" w:cs="Arial"/>
          <w:b/>
          <w:bCs/>
          <w:color w:val="262626" w:themeColor="text1" w:themeTint="D9"/>
          <w:sz w:val="18"/>
          <w:szCs w:val="18"/>
        </w:rPr>
      </w:pPr>
      <w:r w:rsidRPr="00A6352D">
        <w:rPr>
          <w:rFonts w:ascii="Arial" w:hAnsi="Arial" w:cs="Arial"/>
          <w:b/>
          <w:bCs/>
          <w:noProof/>
          <w:color w:val="262626" w:themeColor="text1" w:themeTint="D9"/>
          <w:sz w:val="18"/>
          <w:szCs w:val="18"/>
          <w:lang w:eastAsia="es-MX"/>
        </w:rPr>
        <w:drawing>
          <wp:inline distT="0" distB="0" distL="0" distR="0">
            <wp:extent cx="2343150" cy="368437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40B" w:rsidRDefault="00BC640B" w:rsidP="00BF4D87">
      <w:pPr>
        <w:autoSpaceDE w:val="0"/>
        <w:autoSpaceDN w:val="0"/>
        <w:adjustRightInd w:val="0"/>
        <w:spacing w:after="0" w:line="240" w:lineRule="auto"/>
        <w:ind w:left="-993" w:right="49"/>
        <w:jc w:val="both"/>
        <w:rPr>
          <w:rFonts w:ascii="Arial" w:hAnsi="Arial" w:cs="Arial"/>
          <w:b/>
          <w:color w:val="262626" w:themeColor="text1" w:themeTint="D9"/>
          <w:sz w:val="18"/>
          <w:szCs w:val="18"/>
        </w:rPr>
      </w:pPr>
    </w:p>
    <w:p w:rsidR="008F6126" w:rsidRPr="00BC640B" w:rsidRDefault="008F6126" w:rsidP="00BF4D87">
      <w:pPr>
        <w:autoSpaceDE w:val="0"/>
        <w:autoSpaceDN w:val="0"/>
        <w:adjustRightInd w:val="0"/>
        <w:spacing w:after="0" w:line="360" w:lineRule="auto"/>
        <w:ind w:left="-993" w:right="49"/>
        <w:jc w:val="both"/>
        <w:rPr>
          <w:rFonts w:ascii="Arial" w:hAnsi="Arial" w:cs="Arial"/>
          <w:b/>
          <w:bCs/>
          <w:color w:val="262626" w:themeColor="text1" w:themeTint="D9"/>
          <w:sz w:val="18"/>
          <w:szCs w:val="18"/>
        </w:rPr>
      </w:pPr>
      <w:r w:rsidRPr="00BC640B">
        <w:rPr>
          <w:rFonts w:ascii="Arial" w:hAnsi="Arial" w:cs="Arial"/>
          <w:b/>
          <w:color w:val="262626" w:themeColor="text1" w:themeTint="D9"/>
          <w:sz w:val="18"/>
          <w:szCs w:val="18"/>
        </w:rPr>
        <w:t xml:space="preserve"> </w:t>
      </w:r>
      <w:r w:rsidR="00BC640B">
        <w:rPr>
          <w:rFonts w:ascii="Arial" w:hAnsi="Arial" w:cs="Arial"/>
          <w:b/>
          <w:color w:val="262626" w:themeColor="text1" w:themeTint="D9"/>
          <w:sz w:val="18"/>
          <w:szCs w:val="18"/>
        </w:rPr>
        <w:t>1998-</w:t>
      </w:r>
      <w:r w:rsidRPr="00BC640B">
        <w:rPr>
          <w:rFonts w:ascii="Arial" w:hAnsi="Arial" w:cs="Arial"/>
          <w:b/>
          <w:color w:val="262626" w:themeColor="text1" w:themeTint="D9"/>
          <w:sz w:val="18"/>
          <w:szCs w:val="18"/>
        </w:rPr>
        <w:t>2002.</w:t>
      </w:r>
    </w:p>
    <w:p w:rsidR="008F6126" w:rsidRPr="00A6352D" w:rsidRDefault="00BC640B" w:rsidP="00BF4D87">
      <w:pPr>
        <w:autoSpaceDE w:val="0"/>
        <w:autoSpaceDN w:val="0"/>
        <w:adjustRightInd w:val="0"/>
        <w:spacing w:after="0" w:line="360" w:lineRule="auto"/>
        <w:ind w:left="-993" w:right="49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>
        <w:rPr>
          <w:rFonts w:ascii="Arial" w:hAnsi="Arial" w:cs="Arial"/>
          <w:color w:val="262626" w:themeColor="text1" w:themeTint="D9"/>
          <w:sz w:val="18"/>
          <w:szCs w:val="18"/>
        </w:rPr>
        <w:t xml:space="preserve">Licenciatura en Derecho </w:t>
      </w:r>
      <w:r w:rsidR="008F6126" w:rsidRPr="00A6352D">
        <w:rPr>
          <w:rFonts w:ascii="Arial" w:hAnsi="Arial" w:cs="Arial"/>
          <w:color w:val="262626" w:themeColor="text1" w:themeTint="D9"/>
          <w:sz w:val="18"/>
          <w:szCs w:val="18"/>
        </w:rPr>
        <w:t>Universidad del Golfo de México; A.C., campus Minatitlán; en Minatitlán, Veracruz.</w:t>
      </w:r>
    </w:p>
    <w:p w:rsidR="00BC640B" w:rsidRDefault="00BC640B" w:rsidP="00BF4D87">
      <w:pPr>
        <w:autoSpaceDE w:val="0"/>
        <w:autoSpaceDN w:val="0"/>
        <w:adjustRightInd w:val="0"/>
        <w:spacing w:after="0" w:line="360" w:lineRule="auto"/>
        <w:ind w:left="-993" w:right="49"/>
        <w:jc w:val="both"/>
        <w:rPr>
          <w:rFonts w:ascii="Arial" w:hAnsi="Arial" w:cs="Arial"/>
          <w:b/>
          <w:bCs/>
          <w:color w:val="262626" w:themeColor="text1" w:themeTint="D9"/>
          <w:sz w:val="18"/>
          <w:szCs w:val="18"/>
        </w:rPr>
      </w:pPr>
    </w:p>
    <w:p w:rsidR="008F6126" w:rsidRPr="00A6352D" w:rsidRDefault="00BC640B" w:rsidP="00BF4D87">
      <w:pPr>
        <w:autoSpaceDE w:val="0"/>
        <w:autoSpaceDN w:val="0"/>
        <w:adjustRightInd w:val="0"/>
        <w:spacing w:after="0" w:line="360" w:lineRule="auto"/>
        <w:ind w:left="-993" w:right="49"/>
        <w:jc w:val="both"/>
        <w:rPr>
          <w:rFonts w:ascii="Arial" w:hAnsi="Arial" w:cs="Arial"/>
          <w:b/>
          <w:bCs/>
          <w:color w:val="262626" w:themeColor="text1" w:themeTint="D9"/>
          <w:sz w:val="18"/>
          <w:szCs w:val="18"/>
        </w:rPr>
      </w:pPr>
      <w:r>
        <w:rPr>
          <w:rFonts w:ascii="Arial" w:hAnsi="Arial" w:cs="Arial"/>
          <w:b/>
          <w:bCs/>
          <w:color w:val="262626" w:themeColor="text1" w:themeTint="D9"/>
          <w:sz w:val="18"/>
          <w:szCs w:val="18"/>
        </w:rPr>
        <w:t>2012-</w:t>
      </w:r>
      <w:r w:rsidR="008F6126" w:rsidRPr="00BC640B">
        <w:rPr>
          <w:rFonts w:ascii="Arial" w:hAnsi="Arial" w:cs="Arial"/>
          <w:b/>
          <w:color w:val="262626" w:themeColor="text1" w:themeTint="D9"/>
          <w:sz w:val="18"/>
          <w:szCs w:val="18"/>
        </w:rPr>
        <w:t>2013.</w:t>
      </w:r>
      <w:r w:rsidR="008F6126" w:rsidRPr="00A6352D">
        <w:rPr>
          <w:rFonts w:ascii="Arial" w:hAnsi="Arial" w:cs="Arial"/>
          <w:color w:val="262626" w:themeColor="text1" w:themeTint="D9"/>
          <w:sz w:val="18"/>
          <w:szCs w:val="18"/>
        </w:rPr>
        <w:t xml:space="preserve"> </w:t>
      </w:r>
    </w:p>
    <w:p w:rsidR="008F6126" w:rsidRPr="00A6352D" w:rsidRDefault="008F6126" w:rsidP="00BF4D87">
      <w:pPr>
        <w:autoSpaceDE w:val="0"/>
        <w:autoSpaceDN w:val="0"/>
        <w:adjustRightInd w:val="0"/>
        <w:spacing w:after="0" w:line="360" w:lineRule="auto"/>
        <w:ind w:left="-993" w:right="49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A6352D">
        <w:rPr>
          <w:rFonts w:ascii="Arial" w:hAnsi="Arial" w:cs="Arial"/>
          <w:color w:val="262626" w:themeColor="text1" w:themeTint="D9"/>
          <w:sz w:val="18"/>
          <w:szCs w:val="18"/>
        </w:rPr>
        <w:t>Diplomado en Sistema Penal Acusatorio Adversarial Rama Ministerial, “Juicios Orales”; impartido por la Coordinación de Planeación, Desarrollo e Innovación Institucional de la Dirección General de Formación Profesional de la Procuraduría General de la República.</w:t>
      </w:r>
    </w:p>
    <w:p w:rsidR="00BC640B" w:rsidRDefault="00BC640B" w:rsidP="00BF4D87">
      <w:pPr>
        <w:autoSpaceDE w:val="0"/>
        <w:autoSpaceDN w:val="0"/>
        <w:adjustRightInd w:val="0"/>
        <w:spacing w:after="0" w:line="360" w:lineRule="auto"/>
        <w:ind w:left="-993" w:right="49"/>
        <w:jc w:val="both"/>
        <w:rPr>
          <w:rFonts w:ascii="Arial" w:hAnsi="Arial" w:cs="Arial"/>
          <w:b/>
          <w:bCs/>
          <w:color w:val="262626" w:themeColor="text1" w:themeTint="D9"/>
          <w:sz w:val="18"/>
          <w:szCs w:val="18"/>
        </w:rPr>
      </w:pPr>
    </w:p>
    <w:p w:rsidR="00987A13" w:rsidRPr="00A6352D" w:rsidRDefault="00BC640B" w:rsidP="00BF4D87">
      <w:pPr>
        <w:autoSpaceDE w:val="0"/>
        <w:autoSpaceDN w:val="0"/>
        <w:adjustRightInd w:val="0"/>
        <w:spacing w:after="0" w:line="360" w:lineRule="auto"/>
        <w:ind w:left="-993" w:right="49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>
        <w:rPr>
          <w:rFonts w:ascii="Arial" w:hAnsi="Arial" w:cs="Arial"/>
          <w:b/>
          <w:bCs/>
          <w:color w:val="262626" w:themeColor="text1" w:themeTint="D9"/>
          <w:sz w:val="18"/>
          <w:szCs w:val="18"/>
        </w:rPr>
        <w:t>2019-</w:t>
      </w:r>
      <w:r w:rsidR="00987A13" w:rsidRPr="00BC640B">
        <w:rPr>
          <w:rFonts w:ascii="Arial" w:hAnsi="Arial" w:cs="Arial"/>
          <w:b/>
          <w:color w:val="262626" w:themeColor="text1" w:themeTint="D9"/>
          <w:sz w:val="18"/>
          <w:szCs w:val="18"/>
        </w:rPr>
        <w:t>2020</w:t>
      </w:r>
      <w:r>
        <w:rPr>
          <w:rFonts w:ascii="Arial" w:hAnsi="Arial" w:cs="Arial"/>
          <w:color w:val="262626" w:themeColor="text1" w:themeTint="D9"/>
          <w:sz w:val="18"/>
          <w:szCs w:val="18"/>
        </w:rPr>
        <w:t xml:space="preserve"> </w:t>
      </w:r>
      <w:r w:rsidR="00987A13" w:rsidRPr="00A6352D">
        <w:rPr>
          <w:rFonts w:ascii="Arial" w:hAnsi="Arial" w:cs="Arial"/>
          <w:color w:val="262626" w:themeColor="text1" w:themeTint="D9"/>
          <w:sz w:val="18"/>
          <w:szCs w:val="18"/>
        </w:rPr>
        <w:t xml:space="preserve"> </w:t>
      </w:r>
    </w:p>
    <w:p w:rsidR="008F6126" w:rsidRPr="00A6352D" w:rsidRDefault="00BC640B" w:rsidP="00BF4D87">
      <w:pPr>
        <w:autoSpaceDE w:val="0"/>
        <w:autoSpaceDN w:val="0"/>
        <w:adjustRightInd w:val="0"/>
        <w:spacing w:after="0" w:line="360" w:lineRule="auto"/>
        <w:ind w:left="-993" w:right="49"/>
        <w:jc w:val="both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 w:rsidRPr="00A6352D">
        <w:rPr>
          <w:rFonts w:ascii="Arial" w:hAnsi="Arial" w:cs="Arial"/>
          <w:bCs/>
          <w:color w:val="262626" w:themeColor="text1" w:themeTint="D9"/>
          <w:sz w:val="18"/>
          <w:szCs w:val="18"/>
        </w:rPr>
        <w:t>Maestría en Juicios Orales. Universidad</w:t>
      </w:r>
      <w:r w:rsidR="00987A13" w:rsidRPr="00A6352D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 Popular Autónoma de Veracruz; sede Minatitlán, Veracruz. </w:t>
      </w:r>
    </w:p>
    <w:p w:rsidR="00BC640B" w:rsidRDefault="00BC640B" w:rsidP="00BF4D87">
      <w:pPr>
        <w:autoSpaceDE w:val="0"/>
        <w:autoSpaceDN w:val="0"/>
        <w:adjustRightInd w:val="0"/>
        <w:spacing w:after="0" w:line="240" w:lineRule="auto"/>
        <w:ind w:left="-993" w:right="49"/>
        <w:jc w:val="both"/>
        <w:rPr>
          <w:rFonts w:ascii="Arial" w:hAnsi="Arial" w:cs="Arial"/>
          <w:b/>
          <w:bCs/>
          <w:color w:val="262626" w:themeColor="text1" w:themeTint="D9"/>
          <w:sz w:val="18"/>
          <w:szCs w:val="18"/>
        </w:rPr>
      </w:pPr>
    </w:p>
    <w:p w:rsidR="008F6126" w:rsidRPr="00A6352D" w:rsidRDefault="008F6126" w:rsidP="00BF4D87">
      <w:pPr>
        <w:autoSpaceDE w:val="0"/>
        <w:autoSpaceDN w:val="0"/>
        <w:adjustRightInd w:val="0"/>
        <w:spacing w:after="0" w:line="240" w:lineRule="auto"/>
        <w:ind w:left="-993" w:right="49"/>
        <w:jc w:val="both"/>
        <w:rPr>
          <w:rFonts w:ascii="Arial" w:hAnsi="Arial" w:cs="Arial"/>
          <w:b/>
          <w:bCs/>
          <w:color w:val="262626" w:themeColor="text1" w:themeTint="D9"/>
          <w:sz w:val="18"/>
          <w:szCs w:val="18"/>
        </w:rPr>
      </w:pPr>
      <w:r w:rsidRPr="00A6352D">
        <w:rPr>
          <w:rFonts w:ascii="Arial" w:hAnsi="Arial" w:cs="Arial"/>
          <w:b/>
          <w:bCs/>
          <w:noProof/>
          <w:color w:val="262626" w:themeColor="text1" w:themeTint="D9"/>
          <w:sz w:val="18"/>
          <w:szCs w:val="18"/>
          <w:lang w:eastAsia="es-MX"/>
        </w:rPr>
        <w:drawing>
          <wp:inline distT="0" distB="0" distL="0" distR="0">
            <wp:extent cx="2355525" cy="323850"/>
            <wp:effectExtent l="0" t="0" r="698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40B" w:rsidRDefault="00BC640B" w:rsidP="00BF4D87">
      <w:pPr>
        <w:autoSpaceDE w:val="0"/>
        <w:autoSpaceDN w:val="0"/>
        <w:adjustRightInd w:val="0"/>
        <w:spacing w:after="0" w:line="240" w:lineRule="auto"/>
        <w:ind w:left="-993" w:right="49"/>
        <w:jc w:val="both"/>
        <w:rPr>
          <w:rFonts w:ascii="Arial" w:hAnsi="Arial" w:cs="Arial"/>
          <w:b/>
          <w:color w:val="262626" w:themeColor="text1" w:themeTint="D9"/>
          <w:sz w:val="18"/>
          <w:szCs w:val="18"/>
        </w:rPr>
      </w:pPr>
    </w:p>
    <w:p w:rsidR="00BC640B" w:rsidRPr="00A6352D" w:rsidRDefault="00BC640B" w:rsidP="00BF4D87">
      <w:pPr>
        <w:autoSpaceDE w:val="0"/>
        <w:autoSpaceDN w:val="0"/>
        <w:adjustRightInd w:val="0"/>
        <w:spacing w:after="0" w:line="360" w:lineRule="auto"/>
        <w:ind w:left="-993" w:right="49"/>
        <w:jc w:val="both"/>
        <w:rPr>
          <w:rFonts w:ascii="Arial" w:hAnsi="Arial" w:cs="Arial"/>
          <w:b/>
          <w:color w:val="262626" w:themeColor="text1" w:themeTint="D9"/>
          <w:sz w:val="18"/>
          <w:szCs w:val="18"/>
        </w:rPr>
      </w:pPr>
      <w:r>
        <w:rPr>
          <w:rFonts w:ascii="Arial" w:hAnsi="Arial" w:cs="Arial"/>
          <w:b/>
          <w:color w:val="262626" w:themeColor="text1" w:themeTint="D9"/>
          <w:sz w:val="18"/>
          <w:szCs w:val="18"/>
        </w:rPr>
        <w:t>2018-</w:t>
      </w:r>
      <w:r w:rsidRPr="00A6352D">
        <w:rPr>
          <w:rFonts w:ascii="Arial" w:hAnsi="Arial" w:cs="Arial"/>
          <w:b/>
          <w:color w:val="262626" w:themeColor="text1" w:themeTint="D9"/>
          <w:sz w:val="18"/>
          <w:szCs w:val="18"/>
        </w:rPr>
        <w:t>2021.</w:t>
      </w:r>
    </w:p>
    <w:p w:rsidR="00BC640B" w:rsidRPr="00A6352D" w:rsidRDefault="00BC640B" w:rsidP="00BF4D87">
      <w:pPr>
        <w:spacing w:after="0" w:line="360" w:lineRule="auto"/>
        <w:ind w:left="-993" w:right="49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A6352D">
        <w:rPr>
          <w:rFonts w:ascii="Arial" w:hAnsi="Arial" w:cs="Arial"/>
          <w:color w:val="262626" w:themeColor="text1" w:themeTint="D9"/>
          <w:sz w:val="18"/>
          <w:szCs w:val="18"/>
        </w:rPr>
        <w:t>Fiscal Sexto en la Sub Unidad Integral de Procuración de Justicia de Minatitlán en el Vigésimo Primer Distrito Judicial en Coatzacoalcos, Veracruz.</w:t>
      </w:r>
    </w:p>
    <w:p w:rsidR="00BC640B" w:rsidRDefault="00BC640B" w:rsidP="00BF4D87">
      <w:pPr>
        <w:autoSpaceDE w:val="0"/>
        <w:autoSpaceDN w:val="0"/>
        <w:adjustRightInd w:val="0"/>
        <w:spacing w:after="0" w:line="360" w:lineRule="auto"/>
        <w:ind w:left="-993" w:right="49"/>
        <w:jc w:val="both"/>
        <w:rPr>
          <w:rFonts w:ascii="Arial" w:hAnsi="Arial" w:cs="Arial"/>
          <w:b/>
          <w:color w:val="262626" w:themeColor="text1" w:themeTint="D9"/>
          <w:sz w:val="18"/>
          <w:szCs w:val="18"/>
        </w:rPr>
      </w:pPr>
    </w:p>
    <w:p w:rsidR="00BC640B" w:rsidRPr="00A6352D" w:rsidRDefault="00BC640B" w:rsidP="00BF4D87">
      <w:pPr>
        <w:autoSpaceDE w:val="0"/>
        <w:autoSpaceDN w:val="0"/>
        <w:adjustRightInd w:val="0"/>
        <w:spacing w:after="0" w:line="360" w:lineRule="auto"/>
        <w:ind w:left="-993" w:right="49"/>
        <w:jc w:val="both"/>
        <w:rPr>
          <w:rFonts w:ascii="Arial" w:hAnsi="Arial" w:cs="Arial"/>
          <w:b/>
          <w:color w:val="262626" w:themeColor="text1" w:themeTint="D9"/>
          <w:sz w:val="18"/>
          <w:szCs w:val="18"/>
        </w:rPr>
      </w:pPr>
      <w:r w:rsidRPr="00A6352D">
        <w:rPr>
          <w:rFonts w:ascii="Arial" w:hAnsi="Arial" w:cs="Arial"/>
          <w:b/>
          <w:color w:val="262626" w:themeColor="text1" w:themeTint="D9"/>
          <w:sz w:val="18"/>
          <w:szCs w:val="18"/>
        </w:rPr>
        <w:t>2</w:t>
      </w:r>
      <w:r>
        <w:rPr>
          <w:rFonts w:ascii="Arial" w:hAnsi="Arial" w:cs="Arial"/>
          <w:b/>
          <w:color w:val="262626" w:themeColor="text1" w:themeTint="D9"/>
          <w:sz w:val="18"/>
          <w:szCs w:val="18"/>
        </w:rPr>
        <w:t>017-</w:t>
      </w:r>
      <w:r w:rsidRPr="00A6352D">
        <w:rPr>
          <w:rFonts w:ascii="Arial" w:hAnsi="Arial" w:cs="Arial"/>
          <w:b/>
          <w:color w:val="262626" w:themeColor="text1" w:themeTint="D9"/>
          <w:sz w:val="18"/>
          <w:szCs w:val="18"/>
        </w:rPr>
        <w:t>2018.</w:t>
      </w:r>
    </w:p>
    <w:p w:rsidR="00BC640B" w:rsidRDefault="00BC640B" w:rsidP="00BF4D87">
      <w:pPr>
        <w:autoSpaceDE w:val="0"/>
        <w:autoSpaceDN w:val="0"/>
        <w:adjustRightInd w:val="0"/>
        <w:spacing w:after="0" w:line="360" w:lineRule="auto"/>
        <w:ind w:left="-993" w:right="49"/>
        <w:jc w:val="both"/>
        <w:rPr>
          <w:rFonts w:ascii="Arial" w:hAnsi="Arial" w:cs="Arial"/>
          <w:b/>
          <w:color w:val="262626" w:themeColor="text1" w:themeTint="D9"/>
          <w:sz w:val="18"/>
          <w:szCs w:val="18"/>
        </w:rPr>
      </w:pPr>
      <w:r w:rsidRPr="00A6352D">
        <w:rPr>
          <w:rFonts w:ascii="Arial" w:hAnsi="Arial" w:cs="Arial"/>
          <w:color w:val="262626" w:themeColor="text1" w:themeTint="D9"/>
          <w:sz w:val="18"/>
          <w:szCs w:val="18"/>
        </w:rPr>
        <w:t>Fiscal Segundo en la Sub Unidad Integral de Procuración de Justicia de Cosoleacaque en el Vigésimo Primer Distrito Judicial en Coatzacoalcos, Veracruz</w:t>
      </w:r>
    </w:p>
    <w:p w:rsidR="00BC640B" w:rsidRDefault="00BC640B" w:rsidP="00BF4D87">
      <w:pPr>
        <w:autoSpaceDE w:val="0"/>
        <w:autoSpaceDN w:val="0"/>
        <w:adjustRightInd w:val="0"/>
        <w:spacing w:after="0" w:line="360" w:lineRule="auto"/>
        <w:ind w:left="-993" w:right="49"/>
        <w:jc w:val="both"/>
        <w:rPr>
          <w:rFonts w:ascii="Arial" w:hAnsi="Arial" w:cs="Arial"/>
          <w:b/>
          <w:color w:val="262626" w:themeColor="text1" w:themeTint="D9"/>
          <w:sz w:val="18"/>
          <w:szCs w:val="18"/>
        </w:rPr>
      </w:pPr>
    </w:p>
    <w:p w:rsidR="008F6126" w:rsidRPr="00A6352D" w:rsidRDefault="00BC640B" w:rsidP="00BF4D87">
      <w:pPr>
        <w:autoSpaceDE w:val="0"/>
        <w:autoSpaceDN w:val="0"/>
        <w:adjustRightInd w:val="0"/>
        <w:spacing w:after="0" w:line="360" w:lineRule="auto"/>
        <w:ind w:left="-993" w:right="49"/>
        <w:jc w:val="both"/>
        <w:rPr>
          <w:rFonts w:ascii="Arial" w:hAnsi="Arial" w:cs="Arial"/>
          <w:b/>
          <w:color w:val="262626" w:themeColor="text1" w:themeTint="D9"/>
          <w:sz w:val="18"/>
          <w:szCs w:val="18"/>
        </w:rPr>
      </w:pPr>
      <w:r>
        <w:rPr>
          <w:rFonts w:ascii="Arial" w:hAnsi="Arial" w:cs="Arial"/>
          <w:b/>
          <w:color w:val="262626" w:themeColor="text1" w:themeTint="D9"/>
          <w:sz w:val="18"/>
          <w:szCs w:val="18"/>
        </w:rPr>
        <w:t>2016-</w:t>
      </w:r>
      <w:r w:rsidR="008F6126" w:rsidRPr="00A6352D">
        <w:rPr>
          <w:rFonts w:ascii="Arial" w:hAnsi="Arial" w:cs="Arial"/>
          <w:b/>
          <w:color w:val="262626" w:themeColor="text1" w:themeTint="D9"/>
          <w:sz w:val="18"/>
          <w:szCs w:val="18"/>
        </w:rPr>
        <w:t>2017.</w:t>
      </w:r>
    </w:p>
    <w:p w:rsidR="008F6126" w:rsidRPr="00A6352D" w:rsidRDefault="008F6126" w:rsidP="00BF4D87">
      <w:pPr>
        <w:autoSpaceDE w:val="0"/>
        <w:autoSpaceDN w:val="0"/>
        <w:adjustRightInd w:val="0"/>
        <w:spacing w:after="0" w:line="360" w:lineRule="auto"/>
        <w:ind w:left="-993" w:right="49"/>
        <w:jc w:val="both"/>
        <w:rPr>
          <w:rFonts w:ascii="Arial" w:hAnsi="Arial" w:cs="Arial"/>
          <w:b/>
          <w:color w:val="262626" w:themeColor="text1" w:themeTint="D9"/>
          <w:sz w:val="18"/>
          <w:szCs w:val="18"/>
        </w:rPr>
      </w:pPr>
      <w:r w:rsidRPr="00A6352D">
        <w:rPr>
          <w:rFonts w:ascii="Arial" w:hAnsi="Arial" w:cs="Arial"/>
          <w:color w:val="262626" w:themeColor="text1" w:themeTint="D9"/>
          <w:sz w:val="18"/>
          <w:szCs w:val="18"/>
        </w:rPr>
        <w:t>Fiscal Séptimo en la Unidad Integral de Procuración de Justicia del Vigésimo Primer Distrito Judicial en Coatzacoalcos, Veracruz.</w:t>
      </w:r>
    </w:p>
    <w:p w:rsidR="00987A13" w:rsidRPr="00A6352D" w:rsidRDefault="00987A13" w:rsidP="00BF4D87">
      <w:pPr>
        <w:spacing w:after="0" w:line="240" w:lineRule="auto"/>
        <w:ind w:left="-993" w:right="49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</w:p>
    <w:p w:rsidR="008F6126" w:rsidRPr="00A6352D" w:rsidRDefault="008F6126" w:rsidP="00BF4D87">
      <w:pPr>
        <w:autoSpaceDE w:val="0"/>
        <w:autoSpaceDN w:val="0"/>
        <w:adjustRightInd w:val="0"/>
        <w:spacing w:after="0" w:line="240" w:lineRule="auto"/>
        <w:ind w:left="-993" w:right="49"/>
        <w:jc w:val="both"/>
        <w:rPr>
          <w:rFonts w:ascii="Arial" w:hAnsi="Arial" w:cs="Arial"/>
          <w:b/>
          <w:bCs/>
          <w:color w:val="262626" w:themeColor="text1" w:themeTint="D9"/>
          <w:sz w:val="18"/>
          <w:szCs w:val="18"/>
        </w:rPr>
      </w:pPr>
      <w:r w:rsidRPr="00A6352D">
        <w:rPr>
          <w:rFonts w:ascii="Arial" w:hAnsi="Arial" w:cs="Arial"/>
          <w:b/>
          <w:bCs/>
          <w:noProof/>
          <w:color w:val="262626" w:themeColor="text1" w:themeTint="D9"/>
          <w:sz w:val="18"/>
          <w:szCs w:val="18"/>
          <w:lang w:eastAsia="es-MX"/>
        </w:rPr>
        <w:drawing>
          <wp:inline distT="0" distB="0" distL="0" distR="0">
            <wp:extent cx="2262391" cy="333375"/>
            <wp:effectExtent l="0" t="0" r="508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352D">
        <w:rPr>
          <w:rFonts w:ascii="Arial" w:hAnsi="Arial" w:cs="Arial"/>
          <w:b/>
          <w:bCs/>
          <w:color w:val="262626" w:themeColor="text1" w:themeTint="D9"/>
          <w:sz w:val="18"/>
          <w:szCs w:val="18"/>
        </w:rPr>
        <w:t xml:space="preserve"> </w:t>
      </w:r>
    </w:p>
    <w:p w:rsidR="00BC640B" w:rsidRDefault="00BC640B" w:rsidP="00BF4D87">
      <w:pPr>
        <w:spacing w:after="0" w:line="240" w:lineRule="auto"/>
        <w:ind w:left="-993" w:right="49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</w:p>
    <w:p w:rsidR="00BC640B" w:rsidRDefault="00BC640B" w:rsidP="00BF4D87">
      <w:pPr>
        <w:spacing w:after="0" w:line="360" w:lineRule="auto"/>
        <w:ind w:left="-993" w:right="49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>
        <w:rPr>
          <w:rFonts w:ascii="Arial" w:hAnsi="Arial" w:cs="Arial"/>
          <w:color w:val="262626" w:themeColor="text1" w:themeTint="D9"/>
          <w:sz w:val="18"/>
          <w:szCs w:val="18"/>
        </w:rPr>
        <w:t>Derecho Penal</w:t>
      </w:r>
    </w:p>
    <w:p w:rsidR="00BC640B" w:rsidRDefault="008F6126" w:rsidP="00BF4D87">
      <w:pPr>
        <w:spacing w:after="0" w:line="360" w:lineRule="auto"/>
        <w:ind w:left="-993" w:right="49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A6352D">
        <w:rPr>
          <w:rFonts w:ascii="Arial" w:hAnsi="Arial" w:cs="Arial"/>
          <w:color w:val="262626" w:themeColor="text1" w:themeTint="D9"/>
          <w:sz w:val="18"/>
          <w:szCs w:val="18"/>
        </w:rPr>
        <w:t xml:space="preserve">Derecho </w:t>
      </w:r>
      <w:r w:rsidR="00BC640B">
        <w:rPr>
          <w:rFonts w:ascii="Arial" w:hAnsi="Arial" w:cs="Arial"/>
          <w:color w:val="262626" w:themeColor="text1" w:themeTint="D9"/>
          <w:sz w:val="18"/>
          <w:szCs w:val="18"/>
        </w:rPr>
        <w:t>Procesal Penal</w:t>
      </w:r>
    </w:p>
    <w:p w:rsidR="008F6126" w:rsidRPr="00A6352D" w:rsidRDefault="008F6126" w:rsidP="00BF4D87">
      <w:pPr>
        <w:spacing w:after="0" w:line="360" w:lineRule="auto"/>
        <w:ind w:left="-993" w:right="49"/>
        <w:jc w:val="both"/>
        <w:rPr>
          <w:rFonts w:ascii="Arial" w:hAnsi="Arial" w:cs="Arial"/>
          <w:sz w:val="24"/>
          <w:szCs w:val="24"/>
        </w:rPr>
      </w:pPr>
      <w:r w:rsidRPr="00A6352D">
        <w:rPr>
          <w:rFonts w:ascii="Arial" w:hAnsi="Arial" w:cs="Arial"/>
          <w:color w:val="262626" w:themeColor="text1" w:themeTint="D9"/>
          <w:sz w:val="18"/>
          <w:szCs w:val="18"/>
        </w:rPr>
        <w:t>Derecho Constitucional</w:t>
      </w:r>
      <w:r w:rsidR="00BC640B">
        <w:rPr>
          <w:rFonts w:ascii="Arial" w:hAnsi="Arial" w:cs="Arial"/>
          <w:color w:val="262626" w:themeColor="text1" w:themeTint="D9"/>
          <w:sz w:val="18"/>
          <w:szCs w:val="18"/>
        </w:rPr>
        <w:t>.</w:t>
      </w:r>
    </w:p>
    <w:sectPr w:rsidR="008F6126" w:rsidRPr="00A6352D" w:rsidSect="00A6352D">
      <w:headerReference w:type="default" r:id="rId10"/>
      <w:footerReference w:type="default" r:id="rId11"/>
      <w:pgSz w:w="12240" w:h="15840"/>
      <w:pgMar w:top="851" w:right="1701" w:bottom="851" w:left="368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A06" w:rsidRDefault="00304A06" w:rsidP="00AB5916">
      <w:pPr>
        <w:spacing w:after="0" w:line="240" w:lineRule="auto"/>
      </w:pPr>
      <w:r>
        <w:separator/>
      </w:r>
    </w:p>
  </w:endnote>
  <w:endnote w:type="continuationSeparator" w:id="1">
    <w:p w:rsidR="00304A06" w:rsidRDefault="00304A0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42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A06" w:rsidRDefault="00304A06" w:rsidP="00AB5916">
      <w:pPr>
        <w:spacing w:after="0" w:line="240" w:lineRule="auto"/>
      </w:pPr>
      <w:r>
        <w:separator/>
      </w:r>
    </w:p>
  </w:footnote>
  <w:footnote w:type="continuationSeparator" w:id="1">
    <w:p w:rsidR="00304A06" w:rsidRDefault="00304A0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-2112010</wp:posOffset>
          </wp:positionH>
          <wp:positionV relativeFrom="paragraph">
            <wp:posOffset>-154305</wp:posOffset>
          </wp:positionV>
          <wp:extent cx="922655" cy="1152525"/>
          <wp:effectExtent l="0" t="0" r="0" b="9525"/>
          <wp:wrapThrough wrapText="bothSides">
            <wp:wrapPolygon edited="0">
              <wp:start x="0" y="0"/>
              <wp:lineTo x="0" y="21421"/>
              <wp:lineTo x="20961" y="21421"/>
              <wp:lineTo x="20961" y="0"/>
              <wp:lineTo x="0" y="0"/>
            </wp:wrapPolygon>
          </wp:wrapThrough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65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84276"/>
    <w:rsid w:val="000D5363"/>
    <w:rsid w:val="000E2580"/>
    <w:rsid w:val="00116F15"/>
    <w:rsid w:val="0018740E"/>
    <w:rsid w:val="00196774"/>
    <w:rsid w:val="001B0227"/>
    <w:rsid w:val="00247088"/>
    <w:rsid w:val="00304A06"/>
    <w:rsid w:val="00304E91"/>
    <w:rsid w:val="00394199"/>
    <w:rsid w:val="003E7CE6"/>
    <w:rsid w:val="00462C41"/>
    <w:rsid w:val="00483D67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8F6126"/>
    <w:rsid w:val="00987A13"/>
    <w:rsid w:val="00A6352D"/>
    <w:rsid w:val="00A66637"/>
    <w:rsid w:val="00AB5916"/>
    <w:rsid w:val="00B22173"/>
    <w:rsid w:val="00B34383"/>
    <w:rsid w:val="00B55469"/>
    <w:rsid w:val="00B7537F"/>
    <w:rsid w:val="00B82047"/>
    <w:rsid w:val="00BA21B4"/>
    <w:rsid w:val="00BB2BF2"/>
    <w:rsid w:val="00BC640B"/>
    <w:rsid w:val="00BF4D87"/>
    <w:rsid w:val="00CE7F12"/>
    <w:rsid w:val="00D03386"/>
    <w:rsid w:val="00DB2FA1"/>
    <w:rsid w:val="00DE2E01"/>
    <w:rsid w:val="00DE4B50"/>
    <w:rsid w:val="00E71AD8"/>
    <w:rsid w:val="00EA5918"/>
    <w:rsid w:val="00FA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0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2022-06-16T17:20:00Z</dcterms:created>
  <dcterms:modified xsi:type="dcterms:W3CDTF">2022-06-16T17:20:00Z</dcterms:modified>
</cp:coreProperties>
</file>